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tabs>
          <w:tab w:val="left" w:leader="none" w:pos="7088"/>
        </w:tabs>
        <w:spacing w:after="0" w:lineRule="auto" w:line="300"/>
        <w:ind w:firstLine="0"/>
        <w:jc w:val="center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firstLine="709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firstLine="709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Завершилось первое полугодие 2021 года, и реализация важнейших республиканских программ капитального ремонта также подошла к своему «экватору».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В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этом году республика реализует 28 программ, общий объем финансирования которых в 2021 году - более 25-ти миллиардов рублей. В общей сложности в них включено без малого 3 тысячиобъектов, включая объекты коммунальной инфраструктуры. Программы капремонта охватывают практически все отрасли социально-культурной сферы.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Самая масштабная среди них – это программа ремонта образовательных учреждений.  Значимость этой работы в ходе Прямой линии подчеркнул и Президент Российской Федерации Владимир Владимирович Путин. В республик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е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программа капитального ремонта учреждений образования реализуется на протяжении уже 10-ти лет.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этом году в рамках указанной программы, на реализацию которой республика выделяет 2 млрд рублей, будет отремонтировано 213 объектов. Здесь мы идем точно в графике – к середине года объем выполнения программы оценивается в 51%.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highlight w:val="yellow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На 59% от плана выполнены СМР в 42-х (сорока двух)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д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етских садах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,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из которых 8 объектов уже завершены. Всего в программу включены 49 ДОУ.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- 71% составляет объем выполненных работ по капитальному ремонту общеобразовательных организаций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В этом году программные мероприятия затрагивают 25 школ, 9 из которых завершены. Соответственно, 16 пока у подрядчиков в работе.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В рамках указанной программы осуществляется и реконструкция Сухаревской средней общеобразовательной школы в Нижнекамском районе. К настоящему времени запланированный объем работ на объекте закрыт ровно наполовину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highlight w:val="yellow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- 50% составляется выполнение СМР по капитальному ремонту коррекционных школ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По 7-ми школам работы пока ведутся. 3 образовательных учреждения уже готовы принять воспитанников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highlight w:val="magenta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ремонту функциональных зон в школах (эти работы также входят в программу капремонта общеобразовательных организаций). Здесь подрядчики вышли на финишную прямую – СМР выполнены на 88% от плана. Всего в программу включено 116 функциональных зон, из которых закончены 73, а 43 ремонтируются. Работы ведутся в 20-ти муниципальных районах республики.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Информация по организации доступной среды. Эти работы проходят на 4-х (четырех) объектах - в трех детских садах и одной общеобразовательной школе. Здесь также мы вошли в финальную стадию – объем работ закрыт на 89%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Однако отрасль образования напрямую затрагивают еще несколько программ.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В том числе, программа организации горячего питания в школах, в которую уже в первый год реализации включено 198 объектов. Начаты из них – 176.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firstLine="709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Закончен ремонт в общежитии Камского строительного колледжа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,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входящего в паспорт программы капитального ремонта зданий общежитий учреждений среднего профессионального образования. Еще два программных объекта находятся у подрядчиков в работе. Всего в программу включены 5 общежитий.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программе капитального ремонта ресурсных центров, включая завершенный объект и 4 находящихся в работе, объем выполненных СМР составляет сегодня 52%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56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Еще одна важнейшая с точки зрения социальной значимости программа – программа капитального ремонта медицинских стационаров. 2 стационара мы завершили, 18 активно ремонтируются (работы по ним выполнены на 66%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).</w:t>
      </w:r>
    </w:p>
    <w:p>
      <w:pPr>
        <w:pStyle w:val="style0"/>
        <w:tabs>
          <w:tab w:val="left" w:leader="none" w:pos="7088"/>
        </w:tabs>
        <w:spacing w:after="0" w:lineRule="auto" w:line="360"/>
        <w:ind w:left="-2" w:firstLine="56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Говоря об остальных программах ГИСУ, я бы хотел выстроить их по объему выполненных работ.</w:t>
      </w:r>
    </w:p>
    <w:p>
      <w:pPr>
        <w:pStyle w:val="style0"/>
        <w:tabs>
          <w:tab w:val="left" w:leader="none" w:pos="7088"/>
        </w:tabs>
        <w:spacing w:after="0" w:lineRule="auto" w:line="360"/>
        <w:ind w:left="-2" w:firstLine="56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Итак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На 17% выполнены СМР по программе капитального ремонта зданий, подведомственных Министерству внутренних дел. В работу взяты все объекты, включенные в программу.</w:t>
      </w:r>
    </w:p>
    <w:p>
      <w:pPr>
        <w:pStyle w:val="style0"/>
        <w:tabs>
          <w:tab w:val="left" w:leader="none" w:pos="284"/>
          <w:tab w:val="left" w:leader="none" w:pos="7088"/>
        </w:tabs>
        <w:spacing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- 30% составляет объем выполненных работ по капитальному ремонту овоще-картофелехранилищ. Один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объект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подрядчики закончили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,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еще два ремонтируются.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В работу взяты все 6 объектов, предусмотренных паспортом программы ремонта детских оздоровительных лагерей 2021 года. Объем закрыт на 52%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В 62% от плана оценивается выполнение СМР  по программе капитального ремонта подростковых клубов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,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в которую включены 9 объектов.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программе капитального ремонта спортивных объектов из 14-ти объектов закончены 5. Выполнение СМР - 67 %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Программа капитального ремонта объектов управления Федеральной службы войск национальной гвардии. Выполнение объема от плана – 68%. Из 11-ти (одиннадцати) объектов 6 - в работе и 5 завершены.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- 6 объектов ремонтируются по текущей программе образовательных учреждений отрасли культуры. СМР выполнены на 69%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567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Программа капремонта стационарных организаций социального обслуживания – 87% выполненных работ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Сданы 15 объектов, ремонтируются 14.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В 91% оценивается выполнение СМР по программе капитального ремонта муниципальных архивов.   5 объектов закончены; работы еще на 3-х (трех) продолжаются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продолжаются.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- 95% составляет объем работ по программе капитального ремонта подведомственных зданий Минлесхоза. Закончены 20 объектов; ремонт еще на 8-ми (восьми) подходит к концу.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754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Более чем на 99% выполнены программные мероприятия по капремонту зданий (помещений) Исполнительных комитетов (Советов) поселений. Ремонтируется всего 1 объект из 15-ти; все остальные завершены.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П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олностью реализованы 2 программы с лимитом финансирования в 49 млн 700 тысяч рублей. Это программы капитального ремонта: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 зданий Управлений сельского хозяйства и продовольствия;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и учреждений, подведомственных Управлению ветеринарии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                   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С учетом этого, в целом программы капитального ремонта выполнены на 58 %.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left="-2" w:firstLine="752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Теперь о программах модернизации коммунальной инфраструктуры –  их заказывает Главное управление инженерных сетей. В этом году в республике    реализуется 6 таких программ.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left="6" w:hanging="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программе «Модернизация очистных сооружений и капитальный ремонт сетей канализации» закончены 3 объекта из 8-ми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,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СМР выполнены на 53%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spacing w:after="0" w:lineRule="auto" w:line="360"/>
        <w:ind w:hanging="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В Новошешминском районе завершены программные мероприятия по «Обеспечению населения питьевой водой». Таким образом, полностью программу реализовали 4 района.  В целом по программе объем выполненных работ к текущей дате составил 50%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hanging="3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По Программе «Восстановление уличного освещения» работу закончили 15 муниципалитетов, 7 из которых отчитались о завершении на этой неделе. 18 муниципальных образований активно реализуют программу. В целом план по ней выполнен на 50 %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.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hanging="3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Мероприятия в рамках программы «Реконструкция, строительство сетей  газораспределения, внутридомовых сетей  газопотребления, установки блочно-модульных котельных и котлов наружного размещения» должны пройти в 13-ти районах республики. Реализация началась пока в  7-ми из них; объем работ закрыт на 41%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hanging="3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- Более чем на 49% выполнены работы по программе «Замена котлов в котельных бюджетных учреждений». Реализацию программы завершили 5 районов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 xml:space="preserve">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Продолжаются работы в 37-ми (тридцати семи) муниципалитетах. </w:t>
      </w:r>
    </w:p>
    <w:p>
      <w:pPr>
        <w:pStyle w:val="style0"/>
        <w:pBdr>
          <w:left w:val="nil"/>
          <w:right w:val="nil"/>
          <w:top w:val="nil"/>
          <w:bottom w:val="nil"/>
          <w:between w:val="nil"/>
        </w:pBdr>
        <w:tabs>
          <w:tab w:val="left" w:leader="none" w:pos="284"/>
          <w:tab w:val="left" w:leader="none" w:pos="7088"/>
        </w:tabs>
        <w:spacing w:after="0" w:lineRule="auto" w:line="360"/>
        <w:ind w:left="6" w:hanging="6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- По программе «Водообеспечение и устройство площадок твердых бытовых отходов» в садовых некоммерческих товариществах идет восстановление 61-й (шестьдесят одной) скважины (объем работ выполнен на 25% от плана) и обустройство 38-ми (тридцати восьми) площадок для накопления ТБО (41 %). </w:t>
      </w:r>
    </w:p>
    <w:p>
      <w:pPr>
        <w:pStyle w:val="style0"/>
        <w:spacing w:after="0" w:lineRule="auto" w:line="360"/>
        <w:ind w:firstLine="567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П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рограмм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  <w:lang w:val="en-US"/>
        </w:rPr>
        <w:t>а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 капитального ремонта многоквартирных домов. 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>Постановлением КМ РТ № 474 от 18.06.2021 в нее были включены 102 МКД</w:t>
      </w: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.  </w:t>
      </w:r>
    </w:p>
    <w:p>
      <w:pPr>
        <w:pStyle w:val="style0"/>
        <w:tabs>
          <w:tab w:val="left" w:leader="none" w:pos="284"/>
          <w:tab w:val="left" w:leader="none" w:pos="7088"/>
        </w:tabs>
        <w:spacing w:after="0" w:lineRule="auto" w:line="360"/>
        <w:ind w:firstLine="567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Таким образом, общее количество многоквартирных домов, в которых запланирован капремонт, составило 1035 (тысяча тридцать пяти), а объем финансирования  - 7 млрд 30 млн. рублей </w:t>
      </w:r>
    </w:p>
    <w:p>
      <w:pPr>
        <w:pStyle w:val="style0"/>
        <w:tabs>
          <w:tab w:val="left" w:leader="none" w:pos="142"/>
          <w:tab w:val="left" w:leader="none" w:pos="1985"/>
          <w:tab w:val="left" w:leader="none" w:pos="7088"/>
        </w:tabs>
        <w:spacing w:after="0" w:lineRule="auto" w:line="360"/>
        <w:ind w:firstLine="567"/>
        <w:jc w:val="both"/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</w:pPr>
      <w:r>
        <w:rPr>
          <w:rFonts w:ascii="Calibri" w:cs="Calibri" w:eastAsia="Calibri" w:hAnsi="Calibri"/>
          <w:b w:val="false"/>
          <w:bCs w:val="false"/>
          <w:i w:val="false"/>
          <w:iCs w:val="false"/>
          <w:color w:val="36363d"/>
          <w:sz w:val="28"/>
          <w:szCs w:val="28"/>
          <w:u w:val="none"/>
        </w:rPr>
        <w:t xml:space="preserve">Данные ГИС МЖФ свидетельствуют о том, что на сегодня подрядчиками освоено 42% лимита программы. В абсолютном выражении это 2 млрд 987 млн рублей. </w:t>
      </w:r>
    </w:p>
    <w:sectPr>
      <w:footerReference w:type="default" r:id="rId2"/>
      <w:pgSz w:w="11906" w:h="16838" w:orient="portrait"/>
      <w:pgMar w:top="851" w:right="567" w:bottom="851" w:left="1134" w:header="0" w:footer="113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000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000020203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spacing w:after="0" w:lineRule="auto" w:line="240"/>
      <w:jc w:val="center"/>
      <w:rPr>
        <w:sz w:val="6"/>
        <w:szCs w:val="6"/>
      </w:rPr>
    </w:pPr>
  </w:p>
  <w:p>
    <w:pPr>
      <w:pStyle w:val="style0"/>
      <w:spacing w:after="709" w:lineRule="auto" w:line="240"/>
      <w:ind w:hanging="2"/>
      <w:jc w:val="center"/>
      <w:rPr/>
    </w:pPr>
    <w:r>
      <w:rPr/>
      <w:fldChar w:fldCharType="begin"/>
    </w:r>
    <w:r>
      <w:instrText>PAGE</w:instrText>
    </w:r>
    <w:r>
      <w:rPr/>
      <w:fldChar w:fldCharType="separate"/>
    </w:r>
    <w:r>
      <w:rPr>
        <w:noProof/>
      </w:rPr>
      <w:t>16</w:t>
    </w:r>
    <w:r>
      <w:rPr/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ru-RU" w:bidi="ar-SA" w:eastAsia="ru-RU"/>
      </w:rPr>
    </w:rPrDefault>
    <w:pPrDefault>
      <w:pPr>
        <w:widowControl w:val="false"/>
        <w:spacing w:after="200" w:lineRule="auto" w:line="276"/>
        <w:ind w:hanging="1"/>
      </w:pPr>
    </w:pPrDefault>
  </w:docDefaults>
  <w:style w:type="paragraph" w:default="1" w:styleId="style0">
    <w:name w:val="Normal"/>
    <w:next w:val="style0"/>
    <w:pPr/>
  </w:style>
  <w:style w:type="paragraph" w:styleId="style1">
    <w:name w:val="heading 1"/>
    <w:basedOn w:val="style0"/>
    <w:next w:val="style0"/>
    <w:pPr>
      <w:keepNext/>
      <w:keepLines/>
      <w:spacing w:before="480" w:after="0"/>
      <w:outlineLvl w:val="0"/>
    </w:pPr>
    <w:rPr>
      <w:rFonts w:ascii="Cambria" w:cs="Cambria" w:eastAsia="Cambria" w:hAnsi="Cambria"/>
      <w:b/>
      <w:color w:val="365f91"/>
      <w:sz w:val="28"/>
      <w:szCs w:val="28"/>
    </w:rPr>
  </w:style>
  <w:style w:type="paragraph" w:styleId="style2">
    <w:name w:val="heading 2"/>
    <w:basedOn w:val="style0"/>
    <w:next w:val="styl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spacing w:lineRule="auto" w:line="240"/>
      <w:outlineLvl w:val="2"/>
    </w:pPr>
    <w:rPr>
      <w:rFonts w:ascii="Times New Roman" w:cs="Times New Roman" w:eastAsia="Times New Roman" w:hAnsi="Times New Roman"/>
      <w:b/>
      <w:sz w:val="27"/>
      <w:szCs w:val="27"/>
    </w:rPr>
  </w:style>
  <w:style w:type="paragraph" w:styleId="style4">
    <w:name w:val="heading 4"/>
    <w:basedOn w:val="style0"/>
    <w:next w:val="styl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  <w:outlineLvl w:val="4"/>
    </w:pPr>
    <w:rPr>
      <w:b/>
    </w:rPr>
  </w:style>
  <w:style w:type="paragraph" w:styleId="style6">
    <w:name w:val="heading 6"/>
    <w:basedOn w:val="style0"/>
    <w:next w:val="styl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8">
    <w:name w:val="Текст выноски Знак"/>
    <w:basedOn w:val="style65"/>
    <w:next w:val="style4098"/>
    <w:link w:val="style153"/>
    <w:uiPriority w:val="99"/>
    <w:rPr>
      <w:rFonts w:ascii="Segoe UI" w:cs="Segoe UI" w:hAnsi="Segoe UI"/>
      <w:sz w:val="18"/>
      <w:szCs w:val="18"/>
    </w:rPr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 w:lineRule="auto" w:line="240"/>
      <w:ind w:firstLine="0"/>
    </w:pPr>
    <w:rPr>
      <w:rFonts w:ascii="Times New Roman" w:cs="Times New Roman" w:eastAsia="Times New Roman" w:hAnsi="Times New Roman"/>
      <w:sz w:val="24"/>
      <w:szCs w:val="24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099">
    <w:name w:val="Верхний колонтитул Знак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Нижний колонтитул Знак"/>
    <w:basedOn w:val="style65"/>
    <w:next w:val="style4100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28C7A-B76B-4D75-A0A4-CC6A7314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Words>1025</Words>
  <Pages>17</Pages>
  <Characters>6644</Characters>
  <Application>WPS Office</Application>
  <DocSecurity>0</DocSecurity>
  <Paragraphs>46</Paragraphs>
  <ScaleCrop>false</ScaleCrop>
  <LinksUpToDate>false</LinksUpToDate>
  <CharactersWithSpaces>7693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2021-07-01T05:56:00Z</dcterms:created>
  <dc:creator>Шамиль Валеев</dc:creator>
  <lastModifiedBy>Redmi Note 8 Pro</lastModifiedBy>
  <lastPrinted>2021-07-02T08:22:00Z</lastPrinted>
  <dcterms:modified xsi:type="dcterms:W3CDTF">2021-07-02T17:26:06Z</dcterms:modified>
  <revision>156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