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284"/>
          <w:tab w:val="left" w:leader="none" w:pos="7088"/>
        </w:tabs>
        <w:spacing w:after="0" w:lineRule="auto" w:line="300"/>
        <w:ind w:firstLine="425"/>
        <w:jc w:val="center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объектов социального назначения, завершении строительства проблемных объектов жилищного строительства, осуществляемого гражданами при долевом соинвестировании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этом году республика реализует 19 программ строительства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объемом 6,9 млрд рублей и охватывающих более полутора тысяч объекто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в.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Объем их исполнения составляет 60%. Завершена одна программа.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ab/>
        <w:t>Кроме того, мы участвуем в реализации 6-ти Нацпроектов, объем которых превышает 10 млрд рублей. Это 95 объектов и почти 4 тысячи квадратных метров расселяемого аварийного жилья. На сегодня работы по Федеральным проектам в физическом выражении выполнены на 59%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. Полностью готовы 5 объектов.</w:t>
      </w:r>
    </w:p>
    <w:p>
      <w:pPr>
        <w:pStyle w:val="style0"/>
        <w:tabs>
          <w:tab w:val="left" w:leader="none" w:pos="0"/>
          <w:tab w:val="left" w:leader="none" w:pos="142"/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tt-RU"/>
        </w:rPr>
        <w:t>По отношению к прошлому году мы идем с опережением: к текущей дате план выполнен на 54%. В абсолютных показателях это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tt-RU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tt-RU"/>
        </w:rPr>
        <w:t xml:space="preserve">1 млн 440 тысяч квадратных метров, или почти 105% к уровню прошлого года. </w:t>
      </w:r>
    </w:p>
    <w:p>
      <w:pPr>
        <w:pStyle w:val="style0"/>
        <w:shd w:val="clear" w:color="auto" w:fill="ffffff"/>
        <w:tabs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color w:val="36363d"/>
          <w:sz w:val="28"/>
          <w:szCs w:val="28"/>
          <w:u w:val="none"/>
          <w:lang w:eastAsia="en-US"/>
        </w:rPr>
        <w:t>-В части коммерческой застройки – а это половина от годового плана по жилью – сданы 75 МКД площадью  463 тыс.кв.м.</w:t>
      </w:r>
      <w:r>
        <w:rPr>
          <w:rFonts w:cs="Times New Roman"/>
          <w:b w:val="false"/>
          <w:bCs w:val="false"/>
          <w:i w:val="false"/>
          <w:iCs w:val="false"/>
          <w:color w:val="36363d"/>
          <w:sz w:val="28"/>
          <w:szCs w:val="28"/>
          <w:u w:val="none"/>
          <w:lang w:eastAsia="en-US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36363d"/>
          <w:sz w:val="28"/>
          <w:szCs w:val="28"/>
          <w:u w:val="none"/>
          <w:lang w:eastAsia="en-US"/>
        </w:rPr>
        <w:t xml:space="preserve">Всего к сдаче запланированы 164 многоквартирных дома.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89 домов в процессе строительства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: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- 48 домов находятся в высокой стадии готовности;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степень готовности 24-х характеризуется как средняя (30%-70%);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менее чем на треть готовы 17 домов (0%-30%).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highlight w:val="yellow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Соципотека. Наши обязательства – сдать до конца года 161 дом, или 280 тысяч квадратных метров. 80 МКД общей площадью 99 тысяч метров построены.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Еще 45 домов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близки к сдаче.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highlight w:val="yellow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78% составляет выполнение годового плана по линии индивидуального строительства: 6 тыс. 500 домов построено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Теперь о программах обеспечения жильем отдельных категорий граждан.</w:t>
      </w: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142"/>
          <w:tab w:val="left" w:leader="none" w:pos="426"/>
          <w:tab w:val="left" w:leader="none" w:pos="1418"/>
          <w:tab w:val="left" w:leader="none" w:pos="7088"/>
          <w:tab w:val="right" w:leader="none" w:pos="9639"/>
          <w:tab w:val="right" w:leader="none" w:pos="9923"/>
        </w:tabs>
        <w:spacing w:before="12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З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авершена одна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программа обеспечения жильем молодых семей. Муниципалитеты в полном объеме получили средства – а это 60 млн рублей - на предоставление субсидий участникам программы. Таких в этом году у нас, напомню, 49. </w:t>
      </w:r>
    </w:p>
    <w:p>
      <w:pPr>
        <w:pStyle w:val="style0"/>
        <w:tabs>
          <w:tab w:val="left" w:leader="none" w:pos="0"/>
          <w:tab w:val="left" w:leader="none" w:pos="142"/>
          <w:tab w:val="left" w:leader="none" w:pos="426"/>
          <w:tab w:val="left" w:leader="none" w:pos="7088"/>
        </w:tabs>
        <w:spacing w:before="12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Всего же в этом году участниками программ по обеспечению жильем является 741 семья. </w:t>
      </w:r>
    </w:p>
    <w:p>
      <w:pPr>
        <w:pStyle w:val="style0"/>
        <w:tabs>
          <w:tab w:val="left" w:leader="none" w:pos="0"/>
          <w:tab w:val="left" w:leader="none" w:pos="142"/>
          <w:tab w:val="left" w:leader="none" w:pos="426"/>
          <w:tab w:val="left" w:leader="none" w:pos="7088"/>
        </w:tabs>
        <w:spacing w:before="12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Дети-сироты должны получить 636 жилых помещений. 211 из них, расположенные в 17-ти (семнадцати) муниципальных образованиях и уже имеют контракт с Государственным жилищным фондом.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категории «Многодетные семьи, воспитывающих пятерых и более детей», в этом году в Татарстане 47 получателей.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22 из них жильем к текущей дате обеспечены.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tabs>
          <w:tab w:val="left" w:leader="none" w:pos="0"/>
          <w:tab w:val="left" w:leader="none" w:pos="142"/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Реализовано 2 из 4-х выданных сертификатов представителям категории вынужденных переселенцев, чернобыльцев и переселенцев с Крайнего Севера.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Говоря далее о реализации республиканских программ строительства объектов социально культурной сферы, инженерной инфраструктуры и Национальных проектов,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буд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ем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придерживаться отраслевого принципа.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Образование</w:t>
      </w:r>
    </w:p>
    <w:p>
      <w:pPr>
        <w:pStyle w:val="style0"/>
        <w:widowControl w:val="false"/>
        <w:tabs>
          <w:tab w:val="left" w:leader="none" w:pos="142"/>
          <w:tab w:val="left" w:leader="none" w:pos="426"/>
          <w:tab w:val="left" w:leader="none" w:pos="1985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рамках Федерального проекта «Жилье» построена школа, рассчитанная на 1,5 тысячи учеников. Сейчас идет поставка учебного оборудования.</w:t>
      </w:r>
    </w:p>
    <w:p>
      <w:pPr>
        <w:pStyle w:val="style0"/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  <w:tab/>
        <w:t xml:space="preserve">- Большая школа на 1224 места в соципотечном жилом комплексе «Салават Купере» в Казани строится по Федеральному проекту «Современная школа». Объем выполненных работ на объекте - 66%. </w:t>
      </w:r>
    </w:p>
    <w:p>
      <w:pPr>
        <w:pStyle w:val="style0"/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Строительство 16-ти детских садов идет в рамках двух Федеральных проектов - «Жилье» и «Содействие занятости женщин». СМР на строящихся детсадах выполнены более чем на 59%.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Завершено строительство детского сада в Набережных Челнах.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ЖКХ и модернизация коммунальных сетей.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По федеральному проекту «Жилье» начались работы в г.Казани:</w:t>
      </w:r>
    </w:p>
    <w:p>
      <w:pPr>
        <w:pStyle w:val="style179"/>
        <w:widowControl w:val="false"/>
        <w:numPr>
          <w:ilvl w:val="0"/>
          <w:numId w:val="11"/>
        </w:numPr>
        <w:tabs>
          <w:tab w:val="left" w:leader="none" w:pos="426"/>
          <w:tab w:val="left" w:leader="none" w:pos="7088"/>
        </w:tabs>
        <w:spacing w:after="0" w:lineRule="auto" w:line="360"/>
        <w:ind w:left="0" w:firstLine="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по реконструкции очистных сооружений на объекте жилого комплекса «Светлая долина». Выполнение составляет 8 %;</w:t>
      </w:r>
    </w:p>
    <w:p>
      <w:pPr>
        <w:pStyle w:val="style179"/>
        <w:widowControl w:val="false"/>
        <w:numPr>
          <w:ilvl w:val="0"/>
          <w:numId w:val="11"/>
        </w:numPr>
        <w:tabs>
          <w:tab w:val="left" w:leader="none" w:pos="426"/>
          <w:tab w:val="left" w:leader="none" w:pos="7088"/>
        </w:tabs>
        <w:spacing w:after="0" w:lineRule="auto" w:line="360"/>
        <w:ind w:left="0" w:firstLine="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по строительству сетей водоснабжения в жилом комплексе «Лето».      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120" w:lineRule="auto" w:line="360"/>
        <w:ind w:firstLine="426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 xml:space="preserve">В этом году мы ведем и большую работу по благоустройству общественных пространств.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12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Федеральному проекту «Формирование комфортной городской среды» благоустраиваются 49 общественных пространств. В целом здесь работы выполнены на 25%.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12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Ведутся работы на 8-ми территориях – в рамках Конкурса победителей малых городов. СМР на них закрыты на 27%.</w:t>
      </w:r>
    </w:p>
    <w:p>
      <w:pPr>
        <w:pStyle w:val="style0"/>
        <w:widowControl w:val="false"/>
        <w:tabs>
          <w:tab w:val="left" w:leader="none" w:pos="142"/>
          <w:tab w:val="left" w:leader="none" w:pos="1985"/>
          <w:tab w:val="left" w:leader="none" w:pos="7088"/>
        </w:tabs>
        <w:spacing w:after="12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За счет республики благоустраиваются 13 общественных пространств. </w:t>
      </w:r>
    </w:p>
    <w:p>
      <w:pPr>
        <w:pStyle w:val="style179"/>
        <w:spacing w:after="0" w:lineRule="auto" w:line="360"/>
        <w:ind w:left="0" w:firstLine="992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Далее. Экология.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В рамках первого этапа реконструкции Казанских биологических очистных сооружений объем выполненных работ оценивается в 21%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Завершается строительство – 96% - биологических очистных сооружений в селе Кощаково.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Оба объект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а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реализуются по Федеральному проекту «Оздоровление Волги».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 Рекультивация несанкционированной свалки, расположенной в районе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с. Прости Нижнекамского района, осуществляется в рамках проекта «Чистая страна». Здесь работы выполнены на 25%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 Еще один объект – станция водоподготовки в поселке Васильево Зеленодольского района  - входит в Федеральный проект «Чистая Вода». СМР закрыты на 47%.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Здравоохранение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Татарстан продолжает реализацию программы обновления первичного звена в отрасли, в рамках которой в текущем году запланировано: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строительство 42-х (сорока двух) фельдшерско-акушерских пунктов: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работы выполнены на 21%;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один офис врача общей практики.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СМР на объекте закрыты на 10%.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и 4 врачебных амбулатории, выполнение работ на которых пока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не превышает 5-ти %.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Также в рамках республиканской программы строительства и капитального ремонта стационаров строится один объект - здание Чистопольской ЦРБ. Работы по нему выполнены на 70%.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425"/>
        <w:jc w:val="both"/>
        <w:rPr>
          <w:b/>
          <w:bCs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 xml:space="preserve">Сельское хозяйство.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По республиканской программе строительства коровников и овцеводческих ферм из 7-ми объектов сдан один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. Еще на трех сейчас ведутся работы.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Общее выполнение СМР по программе составляет 24%.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67 объектов входят в республиканскую программу строительства силосно-сенажных траншей. Из них 18 объектов готовы и 25 строятся.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В целом по программе СМР выполнены более чем на 52%. </w:t>
      </w:r>
    </w:p>
    <w:p>
      <w:pPr>
        <w:pStyle w:val="style0"/>
        <w:tabs>
          <w:tab w:val="left" w:leader="none" w:pos="426"/>
          <w:tab w:val="left" w:leader="none" w:pos="7088"/>
        </w:tabs>
        <w:spacing w:before="6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  <w:lang w:val="en-US"/>
        </w:rPr>
        <w:t>С</w:t>
      </w: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порт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.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6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Силами республики в 2021 году строятся 15 спортивных объектов. В их число входят: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60"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- 9 универсальных спортивных площадок. Здесь подрядчики близки к завершению работ – общее выполнение программы составляет более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94-х (девяноста четырех) %.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Сданы 4 площадки – три в Казани и одна в Нижнекамске. 5 объектов программы должны быть сданы в ближайшее время.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60"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- 4 крытых футбольных манежа с каркасно-тентовым покрытием и административным зданием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Объем выполненных работ составляет 32%.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60"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-Наконец, в число 15-ти республиканских спортивных объектов входят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2 уже построенные блочные модульные лыжные базы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Апастовском и Дрожжановском районах.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60" w:after="0" w:lineRule="auto" w:line="360"/>
        <w:jc w:val="both"/>
        <w:rPr>
          <w:b/>
          <w:bCs/>
          <w:i w:val="false"/>
          <w:iCs w:val="false"/>
          <w:color w:val="36363d"/>
          <w:sz w:val="28"/>
          <w:szCs w:val="28"/>
          <w:highlight w:val="yellow"/>
          <w:u w:val="none"/>
        </w:rPr>
      </w:pPr>
      <w:r>
        <w:rPr>
          <w:b/>
          <w:bCs/>
          <w:i w:val="false"/>
          <w:iCs w:val="false"/>
          <w:color w:val="36363d"/>
          <w:sz w:val="28"/>
          <w:szCs w:val="28"/>
          <w:u w:val="none"/>
        </w:rPr>
        <w:t>О других программных мероприятиях</w:t>
      </w:r>
      <w:r>
        <w:rPr>
          <w:b/>
          <w:bCs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tabs>
          <w:tab w:val="left" w:leader="none" w:pos="426"/>
          <w:tab w:val="left" w:leader="none" w:pos="7088"/>
        </w:tabs>
        <w:spacing w:before="60" w:after="0" w:lineRule="auto" w:line="360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</w:t>
        <w:tab/>
        <w:t>- На 80%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выполнены работы в рамках республиканской программы строительства зданий (помещений) исполнительных комитетов (Советов) поселений. Один из 13-и запланированных объектов готов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, остальные у подрядчиков в работе.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120" w:after="0" w:lineRule="auto" w:line="360"/>
        <w:ind w:firstLine="426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По программе строительства детских оздоровительных лагерей 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об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ъем выполненных работ</w:t>
      </w: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составляет 30%. 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88"/>
        </w:tabs>
        <w:spacing w:before="120"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- 16 объектов предусмотрены паспортом программы строительства блочно-модульных пунктов комплексного обслуживания населения. Работы ведутся на 11-ти из них. Выполнение СМР - 17%. </w:t>
      </w:r>
    </w:p>
    <w:p>
      <w:pPr>
        <w:pStyle w:val="style0"/>
        <w:widowControl w:val="false"/>
        <w:tabs>
          <w:tab w:val="left" w:leader="none" w:pos="426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С января Госстройнадзор вышел на объекты 814 раз. Сумма по 78-ми (семидесяти восьми) постановлениям, вынесенным по итогам контрольно-надзорных мероприятий, составила 4 млн. 565 тысяч рублей. </w:t>
      </w:r>
    </w:p>
    <w:p>
      <w:pPr>
        <w:pStyle w:val="style0"/>
        <w:widowControl w:val="false"/>
        <w:tabs>
          <w:tab w:val="left" w:leader="none" w:pos="426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Саморегулируемые организации провели 1 тысячу 36 проверок среди своих «коллег по цеху». </w:t>
      </w:r>
    </w:p>
    <w:p>
      <w:pPr>
        <w:pStyle w:val="style0"/>
        <w:widowControl w:val="false"/>
        <w:tabs>
          <w:tab w:val="left" w:leader="none" w:pos="426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518 проверок с начала года осуществило ГИСУ РТ – ведомство, напомню, ответственно за соблюдение охранных требований на объектах, строящихся в рамках госпрограмм.  </w:t>
      </w:r>
    </w:p>
    <w:p>
      <w:pPr>
        <w:pStyle w:val="style0"/>
        <w:widowControl w:val="false"/>
        <w:tabs>
          <w:tab w:val="left" w:leader="none" w:pos="426"/>
        </w:tabs>
        <w:spacing w:after="0" w:lineRule="auto" w:line="360"/>
        <w:ind w:firstLine="425"/>
        <w:jc w:val="both"/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Хочу отметить оперативность реакции на выявленные нарушения: при том, что с начала года было выявлено 698 нарушений, неустранёнными на сегодня остаются менее одного процента из них. </w:t>
      </w:r>
    </w:p>
    <w:p>
      <w:pPr>
        <w:pStyle w:val="style0"/>
        <w:widowControl w:val="false"/>
        <w:tabs>
          <w:tab w:val="left" w:leader="none" w:pos="426"/>
          <w:tab w:val="left" w:leader="none" w:pos="7088"/>
        </w:tabs>
        <w:spacing w:after="0" w:lineRule="auto" w:line="336"/>
        <w:ind w:firstLine="425"/>
        <w:jc w:val="both"/>
        <w:rPr>
          <w:sz w:val="32"/>
          <w:szCs w:val="32"/>
        </w:rPr>
      </w:pPr>
    </w:p>
    <w:sectPr>
      <w:headerReference w:type="default" r:id="rId2"/>
      <w:footerReference w:type="default" r:id="rId3"/>
      <w:pgSz w:w="11906" w:h="16838" w:orient="portrait"/>
      <w:pgMar w:top="851" w:right="567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004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77"/>
        <w:tab w:val="right" w:leader="none" w:pos="9355"/>
      </w:tabs>
      <w:spacing w:after="0" w:lineRule="auto" w:line="240"/>
      <w:jc w:val="center"/>
      <w:rPr>
        <w:color w:val="000000"/>
        <w:sz w:val="6"/>
        <w:szCs w:val="6"/>
      </w:rPr>
    </w:pP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77"/>
        <w:tab w:val="right" w:leader="none" w:pos="9355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3EAD32"/>
    <w:lvl w:ilvl="0" w:tplc="E440320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54E50D8"/>
    <w:lvl w:ilvl="0">
      <w:start w:val="1"/>
      <w:numFmt w:val="bullet"/>
      <w:lvlText w:val="-"/>
      <w:lvlJc w:val="left"/>
      <w:pPr>
        <w:ind w:left="2421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0000002"/>
    <w:multiLevelType w:val="hybridMultilevel"/>
    <w:tmpl w:val="6DFCF554"/>
    <w:lvl w:ilvl="0" w:tplc="D2FC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0000003"/>
    <w:multiLevelType w:val="hybridMultilevel"/>
    <w:tmpl w:val="31BC6230"/>
    <w:lvl w:ilvl="0" w:tplc="7ABC2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0000004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0000005"/>
    <w:multiLevelType w:val="hybridMultilevel"/>
    <w:tmpl w:val="77624D3C"/>
    <w:lvl w:ilvl="0" w:tplc="DEA052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B364266"/>
    <w:lvl w:ilvl="0" w:tplc="A296C2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26C4968"/>
    <w:lvl w:ilvl="0" w:tplc="14A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0000008"/>
    <w:multiLevelType w:val="hybridMultilevel"/>
    <w:tmpl w:val="5AD6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B1463FEA"/>
    <w:lvl w:ilvl="0" w:tplc="98F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000000A"/>
    <w:multiLevelType w:val="hybridMultilevel"/>
    <w:tmpl w:val="62B0778A"/>
    <w:lvl w:ilvl="0" w:tplc="13AE646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000000B"/>
    <w:multiLevelType w:val="multilevel"/>
    <w:tmpl w:val="7B4EF0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0000000C"/>
    <w:multiLevelType w:val="multilevel"/>
    <w:tmpl w:val="BED8E2E4"/>
    <w:lvl w:ilvl="0">
      <w:start w:val="1"/>
      <w:numFmt w:val="bullet"/>
      <w:lvlText w:val="−"/>
      <w:lvlJc w:val="left"/>
      <w:pPr>
        <w:ind w:left="786" w:hanging="360"/>
      </w:pPr>
      <w:rPr>
        <w:rFonts w:ascii="Calibri" w:cs="Calibri" w:eastAsia="Calibri" w:hAnsi="Calibri"/>
        <w:color w:val="00b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0"/>
      <w:outlineLvl w:val="0"/>
    </w:pPr>
    <w:rPr>
      <w:rFonts w:ascii="Cambria" w:cs="Cambria" w:eastAsia="Cambria" w:hAnsi="Cambria"/>
      <w:b/>
      <w:color w:val="365f91"/>
      <w:sz w:val="28"/>
      <w:szCs w:val="2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spacing w:lineRule="auto" w:line="240"/>
      <w:outlineLvl w:val="2"/>
    </w:pPr>
    <w:rPr>
      <w:rFonts w:ascii="Times New Roman" w:cs="Times New Roman" w:eastAsia="Times New Roman" w:hAnsi="Times New Roman"/>
      <w:b/>
      <w:sz w:val="27"/>
      <w:szCs w:val="27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1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8">
    <w:basedOn w:val="style4097"/>
    <w:next w:val="style4098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099">
    <w:basedOn w:val="style4097"/>
    <w:next w:val="style4099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0">
    <w:basedOn w:val="style4097"/>
    <w:next w:val="style4100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1">
    <w:basedOn w:val="style4097"/>
    <w:next w:val="style4101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102">
    <w:basedOn w:val="style4097"/>
    <w:next w:val="style4102"/>
    <w:pPr/>
    <w:rPr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paragraph" w:customStyle="1" w:styleId="style4103">
    <w:name w:val="s26"/>
    <w:basedOn w:val="style0"/>
    <w:next w:val="style4103"/>
    <w:pPr>
      <w:spacing w:before="100" w:beforeAutospacing="true" w:after="100" w:afterAutospacing="true" w:lineRule="auto" w:line="240"/>
    </w:pPr>
    <w:rPr>
      <w:rFonts w:ascii="Times New Roman" w:cs="Times New Roman" w:eastAsia="Cambria" w:hAnsi="Times New Roman"/>
      <w:sz w:val="24"/>
      <w:szCs w:val="24"/>
    </w:rPr>
  </w:style>
  <w:style w:type="paragraph" w:customStyle="1" w:styleId="style4104">
    <w:name w:val="s5"/>
    <w:basedOn w:val="style0"/>
    <w:next w:val="style4104"/>
    <w:pPr>
      <w:spacing w:before="100" w:beforeAutospacing="true" w:after="100" w:afterAutospacing="true" w:lineRule="auto" w:line="240"/>
    </w:pPr>
    <w:rPr>
      <w:rFonts w:eastAsia="Cambria"/>
      <w:lang w:eastAsia="en-US"/>
    </w:rPr>
  </w:style>
  <w:style w:type="character" w:customStyle="1" w:styleId="style4105">
    <w:name w:val="bumpedfont15"/>
    <w:basedOn w:val="style65"/>
    <w:next w:val="style4105"/>
  </w:style>
  <w:style w:type="paragraph" w:styleId="style153">
    <w:name w:val="Balloon Text"/>
    <w:basedOn w:val="style0"/>
    <w:next w:val="style153"/>
    <w:link w:val="style4106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106">
    <w:name w:val="Текст выноски Знак"/>
    <w:basedOn w:val="style65"/>
    <w:next w:val="style4106"/>
    <w:link w:val="style153"/>
    <w:uiPriority w:val="99"/>
    <w:rPr>
      <w:rFonts w:ascii="Segoe UI" w:cs="Segoe UI" w:hAnsi="Segoe UI"/>
      <w:sz w:val="18"/>
      <w:szCs w:val="18"/>
    </w:rPr>
  </w:style>
  <w:style w:type="paragraph" w:styleId="style179">
    <w:name w:val="List Paragraph"/>
    <w:basedOn w:val="style0"/>
    <w:next w:val="style179"/>
    <w:link w:val="style4107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7">
    <w:name w:val="Абзац списка Знак"/>
    <w:next w:val="style4107"/>
    <w:link w:val="style179"/>
    <w:uiPriority w:val="3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DFEA7-1B1C-426D-B319-066131C0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Words>985</Words>
  <Pages>13</Pages>
  <Characters>6291</Characters>
  <Application>WPS Office</Application>
  <DocSecurity>0</DocSecurity>
  <Paragraphs>65</Paragraphs>
  <ScaleCrop>false</ScaleCrop>
  <LinksUpToDate>false</LinksUpToDate>
  <CharactersWithSpaces>7284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2021-07-09T06:49:00Z</dcterms:created>
  <dc:creator>user</dc:creator>
  <lastModifiedBy>Redmi Note 8 Pro</lastModifiedBy>
  <lastPrinted>2021-07-09T14:45:00Z</lastPrinted>
  <dcterms:modified xsi:type="dcterms:W3CDTF">2021-07-09T17:22:44Z</dcterms:modified>
  <revision>81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